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4E" w:rsidRDefault="00492B4E" w:rsidP="00492B4E">
      <w:pPr>
        <w:spacing w:line="560" w:lineRule="exact"/>
        <w:rPr>
          <w:rFonts w:ascii="仿宋_GB2312" w:eastAsia="仿宋_GB2312" w:hint="eastAsia"/>
          <w:sz w:val="32"/>
          <w:szCs w:val="32"/>
        </w:rPr>
      </w:pPr>
      <w:r w:rsidRPr="00872BB0">
        <w:rPr>
          <w:rFonts w:ascii="仿宋_GB2312" w:eastAsia="仿宋_GB2312" w:hint="eastAsia"/>
          <w:sz w:val="32"/>
          <w:szCs w:val="32"/>
        </w:rPr>
        <w:t>附件：</w:t>
      </w:r>
    </w:p>
    <w:p w:rsidR="00492B4E" w:rsidRPr="00872BB0" w:rsidRDefault="00492B4E" w:rsidP="00492B4E">
      <w:pPr>
        <w:spacing w:line="560" w:lineRule="exact"/>
        <w:rPr>
          <w:rFonts w:ascii="仿宋_GB2312" w:eastAsia="仿宋_GB2312"/>
          <w:sz w:val="32"/>
          <w:szCs w:val="32"/>
        </w:rPr>
      </w:pPr>
    </w:p>
    <w:p w:rsidR="00492B4E" w:rsidRPr="00A31EDC" w:rsidRDefault="00492B4E" w:rsidP="00492B4E">
      <w:pPr>
        <w:widowControl/>
        <w:spacing w:line="560" w:lineRule="exact"/>
        <w:jc w:val="center"/>
        <w:outlineLvl w:val="0"/>
        <w:rPr>
          <w:rFonts w:ascii="方正小标宋简体" w:eastAsia="方正小标宋简体" w:hAnsi="Times New Roman" w:hint="eastAsia"/>
          <w:spacing w:val="-20"/>
          <w:sz w:val="32"/>
          <w:szCs w:val="32"/>
        </w:rPr>
      </w:pPr>
      <w:r w:rsidRPr="00A31EDC">
        <w:rPr>
          <w:rFonts w:ascii="方正小标宋简体" w:eastAsia="方正小标宋简体" w:hAnsi="Times New Roman" w:hint="eastAsia"/>
          <w:spacing w:val="-20"/>
          <w:sz w:val="32"/>
          <w:szCs w:val="32"/>
        </w:rPr>
        <w:t>2016年</w:t>
      </w:r>
      <w:r w:rsidR="003E1EF3">
        <w:rPr>
          <w:rFonts w:ascii="方正小标宋简体" w:eastAsia="方正小标宋简体" w:hAnsi="Times New Roman" w:hint="eastAsia"/>
          <w:spacing w:val="-20"/>
          <w:sz w:val="32"/>
          <w:szCs w:val="32"/>
        </w:rPr>
        <w:t>度</w:t>
      </w:r>
      <w:r w:rsidRPr="00A31EDC">
        <w:rPr>
          <w:rFonts w:ascii="方正小标宋简体" w:eastAsia="方正小标宋简体" w:hAnsi="Times New Roman" w:hint="eastAsia"/>
          <w:spacing w:val="-20"/>
          <w:sz w:val="32"/>
          <w:szCs w:val="32"/>
        </w:rPr>
        <w:t>教育部人文社会科学研究专项任务项目</w:t>
      </w:r>
    </w:p>
    <w:p w:rsidR="00492B4E" w:rsidRPr="00A31EDC" w:rsidRDefault="00492B4E" w:rsidP="00492B4E">
      <w:pPr>
        <w:widowControl/>
        <w:spacing w:line="560" w:lineRule="exact"/>
        <w:jc w:val="center"/>
        <w:outlineLvl w:val="0"/>
        <w:rPr>
          <w:rFonts w:ascii="方正小标宋简体" w:eastAsia="方正小标宋简体" w:hAnsi="Times New Roman" w:hint="eastAsia"/>
          <w:sz w:val="32"/>
          <w:szCs w:val="32"/>
        </w:rPr>
      </w:pPr>
      <w:r w:rsidRPr="00A31EDC">
        <w:rPr>
          <w:rFonts w:ascii="方正小标宋简体" w:eastAsia="方正小标宋简体" w:hAnsi="Times New Roman" w:hint="eastAsia"/>
          <w:sz w:val="32"/>
          <w:szCs w:val="32"/>
        </w:rPr>
        <w:t>（工程科技人才培养研究）</w:t>
      </w:r>
      <w:r w:rsidR="00A31EDC" w:rsidRPr="00A31EDC">
        <w:rPr>
          <w:rFonts w:ascii="方正小标宋简体" w:eastAsia="方正小标宋简体" w:hAnsi="Times New Roman" w:hint="eastAsia"/>
          <w:sz w:val="32"/>
          <w:szCs w:val="32"/>
        </w:rPr>
        <w:t>课题</w:t>
      </w:r>
      <w:r w:rsidRPr="00A31EDC">
        <w:rPr>
          <w:rFonts w:ascii="方正小标宋简体" w:eastAsia="方正小标宋简体" w:hAnsi="Times New Roman" w:hint="eastAsia"/>
          <w:sz w:val="32"/>
          <w:szCs w:val="32"/>
        </w:rPr>
        <w:t>指南</w:t>
      </w:r>
    </w:p>
    <w:p w:rsidR="00492B4E" w:rsidRPr="00872BB0" w:rsidRDefault="00492B4E" w:rsidP="00492B4E">
      <w:pPr>
        <w:widowControl/>
        <w:spacing w:line="560" w:lineRule="exact"/>
        <w:jc w:val="center"/>
        <w:outlineLvl w:val="0"/>
        <w:rPr>
          <w:rFonts w:ascii="Times New Roman" w:eastAsia="华文中宋" w:hAnsi="Times New Roman"/>
          <w:b/>
          <w:sz w:val="44"/>
          <w:szCs w:val="44"/>
        </w:rPr>
      </w:pPr>
    </w:p>
    <w:p w:rsidR="00492B4E" w:rsidRPr="00A31EDC" w:rsidRDefault="00492B4E" w:rsidP="00A31EDC">
      <w:pPr>
        <w:spacing w:line="560" w:lineRule="exact"/>
        <w:ind w:firstLineChars="200" w:firstLine="600"/>
        <w:rPr>
          <w:rFonts w:ascii="仿宋_GB2312" w:eastAsia="仿宋_GB2312"/>
          <w:b/>
          <w:sz w:val="30"/>
          <w:szCs w:val="30"/>
        </w:rPr>
      </w:pPr>
      <w:r w:rsidRPr="00A31EDC">
        <w:rPr>
          <w:rFonts w:eastAsia="黑体" w:hint="eastAsia"/>
          <w:color w:val="000000"/>
          <w:sz w:val="30"/>
          <w:szCs w:val="30"/>
        </w:rPr>
        <w:t>一、面向“中国制造</w:t>
      </w:r>
      <w:r w:rsidRPr="00A31EDC">
        <w:rPr>
          <w:rFonts w:eastAsia="黑体" w:hint="eastAsia"/>
          <w:color w:val="000000"/>
          <w:sz w:val="30"/>
          <w:szCs w:val="30"/>
        </w:rPr>
        <w:t>2025</w:t>
      </w:r>
      <w:r w:rsidRPr="00A31EDC">
        <w:rPr>
          <w:rFonts w:eastAsia="黑体" w:hint="eastAsia"/>
          <w:color w:val="000000"/>
          <w:sz w:val="30"/>
          <w:szCs w:val="30"/>
        </w:rPr>
        <w:t>”的工程科技人才培养体系研究</w:t>
      </w:r>
    </w:p>
    <w:p w:rsidR="00492B4E" w:rsidRPr="00A31EDC" w:rsidRDefault="00492B4E" w:rsidP="00A31EDC">
      <w:pPr>
        <w:spacing w:line="560" w:lineRule="exact"/>
        <w:ind w:firstLineChars="200" w:firstLine="600"/>
        <w:rPr>
          <w:rFonts w:ascii="仿宋_GB2312" w:eastAsia="仿宋_GB2312" w:hint="eastAsia"/>
          <w:sz w:val="30"/>
          <w:szCs w:val="30"/>
        </w:rPr>
      </w:pPr>
      <w:r w:rsidRPr="00A31EDC">
        <w:rPr>
          <w:rFonts w:ascii="仿宋_GB2312" w:eastAsia="仿宋_GB2312" w:hint="eastAsia"/>
          <w:sz w:val="30"/>
          <w:szCs w:val="30"/>
        </w:rPr>
        <w:t>“中国制造2025”是我国</w:t>
      </w:r>
      <w:r w:rsidRPr="00A31EDC">
        <w:rPr>
          <w:rFonts w:ascii="仿宋_GB2312" w:eastAsia="仿宋_GB2312"/>
          <w:sz w:val="30"/>
          <w:szCs w:val="30"/>
        </w:rPr>
        <w:t>实施制造强国战略第一个十年的行动纲领</w:t>
      </w:r>
      <w:r w:rsidRPr="00A31EDC">
        <w:rPr>
          <w:rFonts w:ascii="仿宋_GB2312" w:eastAsia="仿宋_GB2312" w:hint="eastAsia"/>
          <w:sz w:val="30"/>
          <w:szCs w:val="30"/>
        </w:rPr>
        <w:t>。</w:t>
      </w:r>
      <w:proofErr w:type="gramStart"/>
      <w:r w:rsidRPr="00A31EDC">
        <w:rPr>
          <w:rFonts w:ascii="仿宋_GB2312" w:eastAsia="仿宋_GB2312" w:hint="eastAsia"/>
          <w:sz w:val="30"/>
          <w:szCs w:val="30"/>
        </w:rPr>
        <w:t>请针对</w:t>
      </w:r>
      <w:proofErr w:type="gramEnd"/>
      <w:r w:rsidRPr="00A31EDC">
        <w:rPr>
          <w:rFonts w:ascii="仿宋_GB2312" w:eastAsia="仿宋_GB2312" w:hint="eastAsia"/>
          <w:sz w:val="30"/>
          <w:szCs w:val="30"/>
        </w:rPr>
        <w:t>服务国家“中国制造2025”规划要求的工程科技人才特征，满足规划要求的工程科技人才培养标准、课程体系和评价指标，学校教育、工程实践、创新网络整合机制，新一代信息技术与制造业深度融合的工程科技领军人才培养体系等开展研究并提出相关政策建议。</w:t>
      </w:r>
    </w:p>
    <w:p w:rsidR="00492B4E" w:rsidRPr="00A31EDC" w:rsidRDefault="00492B4E" w:rsidP="00A31EDC">
      <w:pPr>
        <w:spacing w:line="560" w:lineRule="exact"/>
        <w:ind w:firstLineChars="200" w:firstLine="600"/>
        <w:rPr>
          <w:rFonts w:eastAsia="黑体"/>
          <w:color w:val="000000"/>
          <w:sz w:val="30"/>
          <w:szCs w:val="30"/>
        </w:rPr>
      </w:pPr>
      <w:r w:rsidRPr="00A31EDC">
        <w:rPr>
          <w:rFonts w:eastAsia="黑体" w:hint="eastAsia"/>
          <w:color w:val="000000"/>
          <w:sz w:val="30"/>
          <w:szCs w:val="30"/>
        </w:rPr>
        <w:t>二、“互联网＋”、“网络强国战略”背景下的工程科技人才培养研究</w:t>
      </w:r>
    </w:p>
    <w:p w:rsidR="00492B4E" w:rsidRPr="00A31EDC" w:rsidRDefault="00492B4E" w:rsidP="00A31EDC">
      <w:pPr>
        <w:spacing w:line="560" w:lineRule="exact"/>
        <w:ind w:firstLineChars="200" w:firstLine="600"/>
        <w:rPr>
          <w:rFonts w:ascii="仿宋_GB2312" w:eastAsia="仿宋_GB2312" w:hint="eastAsia"/>
          <w:sz w:val="30"/>
          <w:szCs w:val="30"/>
        </w:rPr>
      </w:pPr>
      <w:r w:rsidRPr="00A31EDC">
        <w:rPr>
          <w:rFonts w:ascii="仿宋_GB2312" w:eastAsia="仿宋_GB2312" w:hint="eastAsia"/>
          <w:sz w:val="30"/>
          <w:szCs w:val="30"/>
        </w:rPr>
        <w:t>在信息化、“互联网＋”、“网络强国战略”时代背景下，从工程科技人才培养角度研究，如培养目标的研究，教学内容的研究，培养过程的研究，培养制度的研究等，对如何培养与经济、社会各领域深度融合的高素质信息、网络及交叉学科人才，以适应</w:t>
      </w:r>
      <w:r w:rsidRPr="00A31EDC">
        <w:rPr>
          <w:rFonts w:ascii="仿宋_GB2312" w:eastAsia="仿宋_GB2312"/>
          <w:sz w:val="30"/>
          <w:szCs w:val="30"/>
        </w:rPr>
        <w:t>国家战略性</w:t>
      </w:r>
      <w:r w:rsidRPr="00A31EDC">
        <w:rPr>
          <w:rFonts w:ascii="仿宋_GB2312" w:eastAsia="仿宋_GB2312" w:hint="eastAsia"/>
          <w:sz w:val="30"/>
          <w:szCs w:val="30"/>
        </w:rPr>
        <w:t>新兴产业发展和“网络强国战略”需要，提出相关政策建议。</w:t>
      </w:r>
    </w:p>
    <w:p w:rsidR="00492B4E" w:rsidRPr="00A31EDC" w:rsidRDefault="00492B4E" w:rsidP="00A31EDC">
      <w:pPr>
        <w:spacing w:line="560" w:lineRule="exact"/>
        <w:ind w:firstLineChars="200" w:firstLine="600"/>
        <w:rPr>
          <w:rFonts w:eastAsia="黑体"/>
          <w:color w:val="000000"/>
          <w:sz w:val="30"/>
          <w:szCs w:val="30"/>
        </w:rPr>
      </w:pPr>
      <w:r w:rsidRPr="00A31EDC">
        <w:rPr>
          <w:rFonts w:eastAsia="黑体" w:hint="eastAsia"/>
          <w:color w:val="000000"/>
          <w:sz w:val="30"/>
          <w:szCs w:val="30"/>
        </w:rPr>
        <w:t>三、工程人才创造力开发研究</w:t>
      </w:r>
    </w:p>
    <w:p w:rsidR="00492B4E" w:rsidRPr="00A31EDC" w:rsidRDefault="00492B4E" w:rsidP="00A31EDC">
      <w:pPr>
        <w:spacing w:line="560" w:lineRule="exact"/>
        <w:ind w:firstLineChars="200" w:firstLine="600"/>
        <w:rPr>
          <w:rFonts w:ascii="仿宋_GB2312" w:eastAsia="仿宋_GB2312" w:hint="eastAsia"/>
          <w:sz w:val="30"/>
          <w:szCs w:val="30"/>
        </w:rPr>
      </w:pPr>
      <w:r w:rsidRPr="00A31EDC">
        <w:rPr>
          <w:rFonts w:ascii="仿宋_GB2312" w:eastAsia="仿宋_GB2312" w:hint="eastAsia"/>
          <w:sz w:val="30"/>
          <w:szCs w:val="30"/>
        </w:rPr>
        <w:t>工程人才创造力是工程科技人才在一定的资源条件约束下，</w:t>
      </w:r>
      <w:bookmarkStart w:id="0" w:name="_GoBack"/>
      <w:r w:rsidRPr="00A31EDC">
        <w:rPr>
          <w:rFonts w:ascii="仿宋_GB2312" w:eastAsia="仿宋_GB2312" w:hint="eastAsia"/>
          <w:sz w:val="30"/>
          <w:szCs w:val="30"/>
        </w:rPr>
        <w:t>在工程科技领域提出新颖独特兼具实用性的解决</w:t>
      </w:r>
      <w:bookmarkEnd w:id="0"/>
      <w:r w:rsidRPr="00A31EDC">
        <w:rPr>
          <w:rFonts w:ascii="仿宋_GB2312" w:eastAsia="仿宋_GB2312" w:hint="eastAsia"/>
          <w:sz w:val="30"/>
          <w:szCs w:val="30"/>
        </w:rPr>
        <w:t>方案或设计出实用性新产品的能力。在落实创新驱动战略，适应经济发展新常态，推动形成经济结构优化，加快推进发展方式转变成为高等教育所面临的历史任务的背景下，培养和开发工程人才的创造力具</w:t>
      </w:r>
      <w:r w:rsidRPr="00A31EDC">
        <w:rPr>
          <w:rFonts w:ascii="仿宋_GB2312" w:eastAsia="仿宋_GB2312" w:hint="eastAsia"/>
          <w:sz w:val="30"/>
          <w:szCs w:val="30"/>
        </w:rPr>
        <w:lastRenderedPageBreak/>
        <w:t>有重要意义。此选题旨在鼓励开展有关工程人才创造力的概念框架、影响因素、提升路径、支撑体系等方面的理论研究并提出相关政策建议。</w:t>
      </w:r>
    </w:p>
    <w:p w:rsidR="00492B4E" w:rsidRPr="00A31EDC" w:rsidRDefault="00492B4E" w:rsidP="00A31EDC">
      <w:pPr>
        <w:spacing w:line="560" w:lineRule="exact"/>
        <w:ind w:firstLineChars="200" w:firstLine="600"/>
        <w:rPr>
          <w:rFonts w:eastAsia="黑体"/>
          <w:color w:val="000000"/>
          <w:sz w:val="30"/>
          <w:szCs w:val="30"/>
        </w:rPr>
      </w:pPr>
      <w:r w:rsidRPr="00A31EDC">
        <w:rPr>
          <w:rFonts w:eastAsia="黑体" w:hint="eastAsia"/>
          <w:color w:val="000000"/>
          <w:sz w:val="30"/>
          <w:szCs w:val="30"/>
        </w:rPr>
        <w:t>四、面向工程全生命周期的工程管理人才培养体系研究</w:t>
      </w:r>
    </w:p>
    <w:p w:rsidR="00492B4E" w:rsidRPr="00A31EDC" w:rsidRDefault="00492B4E" w:rsidP="00A31EDC">
      <w:pPr>
        <w:spacing w:line="560" w:lineRule="exact"/>
        <w:ind w:firstLineChars="200" w:firstLine="600"/>
        <w:rPr>
          <w:rFonts w:ascii="仿宋_GB2312" w:eastAsia="仿宋_GB2312" w:hint="eastAsia"/>
          <w:sz w:val="30"/>
          <w:szCs w:val="30"/>
        </w:rPr>
      </w:pPr>
      <w:r w:rsidRPr="00A31EDC">
        <w:rPr>
          <w:rFonts w:ascii="仿宋_GB2312" w:eastAsia="仿宋_GB2312" w:hint="eastAsia"/>
          <w:sz w:val="30"/>
          <w:szCs w:val="30"/>
        </w:rPr>
        <w:t>管理人才在工程项目实施方面发挥着重要的作用。</w:t>
      </w:r>
      <w:proofErr w:type="gramStart"/>
      <w:r w:rsidRPr="00A31EDC">
        <w:rPr>
          <w:rFonts w:ascii="仿宋_GB2312" w:eastAsia="仿宋_GB2312" w:hint="eastAsia"/>
          <w:sz w:val="30"/>
          <w:szCs w:val="30"/>
        </w:rPr>
        <w:t>请针对</w:t>
      </w:r>
      <w:proofErr w:type="gramEnd"/>
      <w:r w:rsidRPr="00A31EDC">
        <w:rPr>
          <w:rFonts w:ascii="仿宋_GB2312" w:eastAsia="仿宋_GB2312" w:hint="eastAsia"/>
          <w:sz w:val="30"/>
          <w:szCs w:val="30"/>
        </w:rPr>
        <w:t>信息化、国际化背景下工程管理人才需求与发展趋势，国内外工程管理人才培养体系比较，工程管理人才知识、能力、素质结构研究与设计，工程管理人才培养体系的研究与设计，工程管理人才传统培养体系变革的路径研究与设计等方面进行研究并提出相关政策建议。</w:t>
      </w:r>
    </w:p>
    <w:p w:rsidR="00492B4E" w:rsidRPr="00A31EDC" w:rsidRDefault="00492B4E" w:rsidP="00A31EDC">
      <w:pPr>
        <w:spacing w:line="560" w:lineRule="exact"/>
        <w:ind w:firstLineChars="200" w:firstLine="600"/>
        <w:rPr>
          <w:rFonts w:eastAsia="黑体"/>
          <w:color w:val="000000"/>
          <w:sz w:val="30"/>
          <w:szCs w:val="30"/>
        </w:rPr>
      </w:pPr>
      <w:r w:rsidRPr="00A31EDC">
        <w:rPr>
          <w:rFonts w:eastAsia="黑体" w:hint="eastAsia"/>
          <w:color w:val="000000"/>
          <w:sz w:val="30"/>
          <w:szCs w:val="30"/>
        </w:rPr>
        <w:t>五、医药卫生人才培养的宏观管理体制与协调机制研究</w:t>
      </w:r>
    </w:p>
    <w:p w:rsidR="00492B4E" w:rsidRPr="00A31EDC" w:rsidRDefault="00492B4E" w:rsidP="00A31EDC">
      <w:pPr>
        <w:spacing w:line="560" w:lineRule="exact"/>
        <w:ind w:firstLineChars="200" w:firstLine="600"/>
        <w:rPr>
          <w:rFonts w:ascii="仿宋_GB2312" w:eastAsia="仿宋_GB2312" w:hint="eastAsia"/>
          <w:sz w:val="30"/>
          <w:szCs w:val="30"/>
        </w:rPr>
      </w:pPr>
      <w:r w:rsidRPr="00A31EDC">
        <w:rPr>
          <w:rFonts w:ascii="仿宋_GB2312" w:eastAsia="仿宋_GB2312" w:hint="eastAsia"/>
          <w:sz w:val="30"/>
          <w:szCs w:val="30"/>
        </w:rPr>
        <w:t>从顶层设计的角度，分析医药卫生人才培养工作中，中央与地方、相关政府部门、政府与社会团体之间的关系与作用等，并就卫生人才培养体系的宏观管理体制与协调机制提出相关政策建议。</w:t>
      </w:r>
    </w:p>
    <w:p w:rsidR="00492B4E" w:rsidRPr="00A31EDC" w:rsidRDefault="00492B4E" w:rsidP="00A31EDC">
      <w:pPr>
        <w:spacing w:line="560" w:lineRule="exact"/>
        <w:ind w:firstLineChars="200" w:firstLine="600"/>
        <w:rPr>
          <w:rFonts w:eastAsia="黑体"/>
          <w:color w:val="000000"/>
          <w:sz w:val="30"/>
          <w:szCs w:val="30"/>
        </w:rPr>
      </w:pPr>
      <w:r w:rsidRPr="00A31EDC">
        <w:rPr>
          <w:rFonts w:eastAsia="黑体" w:hint="eastAsia"/>
          <w:color w:val="000000"/>
          <w:sz w:val="30"/>
          <w:szCs w:val="30"/>
        </w:rPr>
        <w:t>六、工程科技人才继续教育市场机制研究</w:t>
      </w:r>
    </w:p>
    <w:p w:rsidR="00492B4E" w:rsidRPr="00A31EDC" w:rsidRDefault="00492B4E" w:rsidP="00A31EDC">
      <w:pPr>
        <w:spacing w:line="560" w:lineRule="exact"/>
        <w:ind w:firstLineChars="200" w:firstLine="600"/>
        <w:rPr>
          <w:rFonts w:ascii="Times New Roman" w:eastAsia="华文中宋" w:hAnsi="Times New Roman" w:hint="eastAsia"/>
          <w:b/>
          <w:sz w:val="30"/>
          <w:szCs w:val="30"/>
        </w:rPr>
      </w:pPr>
      <w:r w:rsidRPr="00A31EDC">
        <w:rPr>
          <w:rFonts w:ascii="仿宋_GB2312" w:eastAsia="仿宋_GB2312" w:hint="eastAsia"/>
          <w:sz w:val="30"/>
          <w:szCs w:val="30"/>
        </w:rPr>
        <w:t>市场配置资源的作用尚未充分发挥是当前工程科技人才继续教育面临的突出问题之一。</w:t>
      </w:r>
      <w:proofErr w:type="gramStart"/>
      <w:r w:rsidRPr="00A31EDC">
        <w:rPr>
          <w:rFonts w:ascii="仿宋_GB2312" w:eastAsia="仿宋_GB2312" w:hint="eastAsia"/>
          <w:sz w:val="30"/>
          <w:szCs w:val="30"/>
        </w:rPr>
        <w:t>请针对</w:t>
      </w:r>
      <w:proofErr w:type="gramEnd"/>
      <w:r w:rsidRPr="00A31EDC">
        <w:rPr>
          <w:rFonts w:ascii="仿宋_GB2312" w:eastAsia="仿宋_GB2312" w:hint="eastAsia"/>
          <w:sz w:val="30"/>
          <w:szCs w:val="30"/>
        </w:rPr>
        <w:t>我国继续工程教育的现状和发展趋势，重点就以需求为导向，如何发挥企业主体作用、各类培训机构提供优质培训服务、市场机制实现方式、政府部门角色定位等内容开展研究并提出相关政策建议。</w:t>
      </w:r>
    </w:p>
    <w:p w:rsidR="00492B4E" w:rsidRPr="00A31EDC" w:rsidRDefault="00492B4E" w:rsidP="00492B4E">
      <w:pPr>
        <w:spacing w:line="560" w:lineRule="exact"/>
        <w:rPr>
          <w:sz w:val="30"/>
          <w:szCs w:val="30"/>
        </w:rPr>
      </w:pPr>
    </w:p>
    <w:sectPr w:rsidR="00492B4E" w:rsidRPr="00A31EDC" w:rsidSect="00492B4E">
      <w:footerReference w:type="even" r:id="rId7"/>
      <w:footerReference w:type="default" r:id="rId8"/>
      <w:pgSz w:w="11906" w:h="16838"/>
      <w:pgMar w:top="1418" w:right="1797" w:bottom="1418"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C1E" w:rsidRDefault="00764C1E">
      <w:r>
        <w:separator/>
      </w:r>
    </w:p>
  </w:endnote>
  <w:endnote w:type="continuationSeparator" w:id="1">
    <w:p w:rsidR="00764C1E" w:rsidRDefault="00764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4E" w:rsidRDefault="00492B4E" w:rsidP="00492B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2B4E" w:rsidRDefault="00492B4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4E" w:rsidRPr="00B344B8" w:rsidRDefault="00492B4E" w:rsidP="00492B4E">
    <w:pPr>
      <w:pStyle w:val="a3"/>
      <w:framePr w:wrap="around" w:vAnchor="text" w:hAnchor="margin" w:xAlign="center" w:y="1"/>
      <w:rPr>
        <w:rStyle w:val="a4"/>
        <w:rFonts w:ascii="Times New Roman" w:hAnsi="Times New Roman"/>
        <w:sz w:val="24"/>
      </w:rPr>
    </w:pPr>
    <w:r w:rsidRPr="00B344B8">
      <w:rPr>
        <w:rStyle w:val="a4"/>
        <w:rFonts w:ascii="Times New Roman" w:hAnsi="Times New Roman"/>
        <w:sz w:val="24"/>
      </w:rPr>
      <w:fldChar w:fldCharType="begin"/>
    </w:r>
    <w:r w:rsidRPr="00B344B8">
      <w:rPr>
        <w:rStyle w:val="a4"/>
        <w:rFonts w:ascii="Times New Roman" w:hAnsi="Times New Roman"/>
        <w:sz w:val="24"/>
      </w:rPr>
      <w:instrText xml:space="preserve">PAGE  </w:instrText>
    </w:r>
    <w:r w:rsidRPr="00B344B8">
      <w:rPr>
        <w:rStyle w:val="a4"/>
        <w:rFonts w:ascii="Times New Roman" w:hAnsi="Times New Roman"/>
        <w:sz w:val="24"/>
      </w:rPr>
      <w:fldChar w:fldCharType="separate"/>
    </w:r>
    <w:r w:rsidR="00F52433">
      <w:rPr>
        <w:rStyle w:val="a4"/>
        <w:rFonts w:ascii="Times New Roman" w:hAnsi="Times New Roman"/>
        <w:noProof/>
        <w:sz w:val="24"/>
      </w:rPr>
      <w:t>- 1 -</w:t>
    </w:r>
    <w:r w:rsidRPr="00B344B8">
      <w:rPr>
        <w:rStyle w:val="a4"/>
        <w:rFonts w:ascii="Times New Roman" w:hAnsi="Times New Roman"/>
        <w:sz w:val="24"/>
      </w:rPr>
      <w:fldChar w:fldCharType="end"/>
    </w:r>
  </w:p>
  <w:p w:rsidR="00492B4E" w:rsidRDefault="00492B4E" w:rsidP="00492B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C1E" w:rsidRDefault="00764C1E">
      <w:r>
        <w:separator/>
      </w:r>
    </w:p>
  </w:footnote>
  <w:footnote w:type="continuationSeparator" w:id="1">
    <w:p w:rsidR="00764C1E" w:rsidRDefault="00764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7DCF"/>
    <w:multiLevelType w:val="hybridMultilevel"/>
    <w:tmpl w:val="75ACE7B0"/>
    <w:lvl w:ilvl="0" w:tplc="9680519E">
      <w:start w:val="1"/>
      <w:numFmt w:val="japaneseCounting"/>
      <w:lvlText w:val="%1、"/>
      <w:lvlJc w:val="left"/>
      <w:pPr>
        <w:ind w:left="1440" w:hanging="720"/>
      </w:pPr>
      <w:rPr>
        <w:rFonts w:ascii="Calibri" w:eastAsia="黑体" w:hAnsi="Calibri" w:hint="default"/>
        <w:b w:val="0"/>
        <w:color w:val="00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B4E"/>
    <w:rsid w:val="00095EB2"/>
    <w:rsid w:val="001D5F65"/>
    <w:rsid w:val="003E1EF3"/>
    <w:rsid w:val="00492B4E"/>
    <w:rsid w:val="0067476A"/>
    <w:rsid w:val="00764C1E"/>
    <w:rsid w:val="00A31EDC"/>
    <w:rsid w:val="00F52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92B4E"/>
    <w:pPr>
      <w:tabs>
        <w:tab w:val="center" w:pos="4153"/>
        <w:tab w:val="right" w:pos="8306"/>
      </w:tabs>
      <w:snapToGrid w:val="0"/>
      <w:jc w:val="left"/>
    </w:pPr>
    <w:rPr>
      <w:sz w:val="18"/>
      <w:szCs w:val="18"/>
    </w:rPr>
  </w:style>
  <w:style w:type="character" w:customStyle="1" w:styleId="Char">
    <w:name w:val="页脚 Char"/>
    <w:link w:val="a3"/>
    <w:rsid w:val="00492B4E"/>
    <w:rPr>
      <w:rFonts w:ascii="Calibri" w:eastAsia="宋体" w:hAnsi="Calibri" w:cs="Times New Roman"/>
      <w:sz w:val="18"/>
      <w:szCs w:val="18"/>
    </w:rPr>
  </w:style>
  <w:style w:type="character" w:styleId="a4">
    <w:name w:val="page number"/>
    <w:unhideWhenUsed/>
    <w:rsid w:val="00492B4E"/>
  </w:style>
  <w:style w:type="paragraph" w:styleId="a5">
    <w:name w:val="List Paragraph"/>
    <w:basedOn w:val="a"/>
    <w:uiPriority w:val="34"/>
    <w:qFormat/>
    <w:rsid w:val="00492B4E"/>
    <w:pPr>
      <w:ind w:firstLineChars="200" w:firstLine="420"/>
    </w:pPr>
    <w:rPr>
      <w:rFonts w:ascii="Times New Roman" w:hAnsi="Times New Roman"/>
      <w:szCs w:val="24"/>
    </w:rPr>
  </w:style>
  <w:style w:type="paragraph" w:styleId="a6">
    <w:name w:val="header"/>
    <w:basedOn w:val="a"/>
    <w:link w:val="Char0"/>
    <w:uiPriority w:val="99"/>
    <w:unhideWhenUsed/>
    <w:rsid w:val="00A31ED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A31ED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4</DocSecurity>
  <Lines>7</Lines>
  <Paragraphs>2</Paragraphs>
  <ScaleCrop>false</ScaleCrop>
  <Company>Microsoft</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szs</dc:creator>
  <cp:lastModifiedBy>User</cp:lastModifiedBy>
  <cp:revision>2</cp:revision>
  <dcterms:created xsi:type="dcterms:W3CDTF">2016-01-08T06:15:00Z</dcterms:created>
  <dcterms:modified xsi:type="dcterms:W3CDTF">2016-01-08T06:15:00Z</dcterms:modified>
</cp:coreProperties>
</file>