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BB" w:rsidRPr="001836BB" w:rsidRDefault="001836BB" w:rsidP="001836BB">
      <w:pPr>
        <w:widowControl/>
        <w:pBdr>
          <w:bottom w:val="single" w:sz="8" w:space="3" w:color="DE9C16"/>
        </w:pBdr>
        <w:shd w:val="clear" w:color="auto" w:fill="FFFFFF"/>
        <w:jc w:val="left"/>
        <w:outlineLvl w:val="1"/>
        <w:rPr>
          <w:rFonts w:ascii="Roboto" w:eastAsia="宋体" w:hAnsi="Roboto" w:cs="Helvetica"/>
          <w:caps/>
          <w:color w:val="DE9C16"/>
          <w:kern w:val="0"/>
          <w:sz w:val="21"/>
          <w:szCs w:val="21"/>
        </w:rPr>
      </w:pPr>
      <w:r w:rsidRPr="001836BB">
        <w:rPr>
          <w:rFonts w:ascii="Roboto" w:eastAsia="宋体" w:hAnsi="Roboto" w:cs="Helvetica"/>
          <w:caps/>
          <w:color w:val="DE9C16"/>
          <w:kern w:val="0"/>
          <w:sz w:val="21"/>
        </w:rPr>
        <w:t>中央高校基本科研业务费管理办法</w:t>
      </w:r>
      <w:r w:rsidRPr="001836BB">
        <w:rPr>
          <w:rFonts w:ascii="Roboto" w:eastAsia="宋体" w:hAnsi="Roboto" w:cs="Helvetica"/>
          <w:caps/>
          <w:color w:val="DE9C16"/>
          <w:kern w:val="0"/>
          <w:sz w:val="21"/>
          <w:szCs w:val="21"/>
        </w:rPr>
        <w:t xml:space="preserve"> </w:t>
      </w:r>
    </w:p>
    <w:p w:rsidR="001836BB" w:rsidRPr="001836BB" w:rsidRDefault="001836BB" w:rsidP="001836BB">
      <w:pPr>
        <w:widowControl/>
        <w:shd w:val="clear" w:color="auto" w:fill="FFFFFF"/>
        <w:spacing w:line="480" w:lineRule="atLeast"/>
        <w:jc w:val="left"/>
        <w:rPr>
          <w:rFonts w:ascii="Roboto" w:eastAsia="宋体" w:hAnsi="Roboto" w:cs="Helvetica"/>
          <w:b/>
          <w:bCs/>
          <w:color w:val="444444"/>
          <w:kern w:val="0"/>
          <w:sz w:val="16"/>
          <w:szCs w:val="16"/>
        </w:rPr>
      </w:pPr>
      <w:r w:rsidRPr="001836BB">
        <w:rPr>
          <w:rFonts w:ascii="Roboto" w:eastAsia="宋体" w:hAnsi="Roboto" w:cs="Helvetica"/>
          <w:b/>
          <w:bCs/>
          <w:color w:val="444444"/>
          <w:kern w:val="0"/>
          <w:sz w:val="16"/>
          <w:szCs w:val="16"/>
        </w:rPr>
        <w:t>来源</w:t>
      </w:r>
    </w:p>
    <w:p w:rsidR="001836BB" w:rsidRPr="001836BB" w:rsidRDefault="001836BB" w:rsidP="001836BB">
      <w:pPr>
        <w:widowControl/>
        <w:shd w:val="clear" w:color="auto" w:fill="FFFFFF"/>
        <w:spacing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财政部</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教育部</w:t>
      </w:r>
    </w:p>
    <w:p w:rsidR="001836BB" w:rsidRPr="001836BB" w:rsidRDefault="001836BB" w:rsidP="001836BB">
      <w:pPr>
        <w:widowControl/>
        <w:shd w:val="clear" w:color="auto" w:fill="FFFFFF"/>
        <w:spacing w:after="115" w:line="480" w:lineRule="atLeast"/>
        <w:jc w:val="center"/>
        <w:rPr>
          <w:rFonts w:ascii="Roboto" w:eastAsia="宋体" w:hAnsi="Roboto" w:cs="Helvetica"/>
          <w:color w:val="444444"/>
          <w:kern w:val="0"/>
          <w:sz w:val="16"/>
          <w:szCs w:val="16"/>
        </w:rPr>
      </w:pPr>
      <w:r w:rsidRPr="001836BB">
        <w:rPr>
          <w:rFonts w:ascii="Roboto" w:eastAsia="宋体" w:hAnsi="Roboto" w:cs="Helvetica"/>
          <w:b/>
          <w:bCs/>
          <w:color w:val="444444"/>
          <w:kern w:val="0"/>
          <w:sz w:val="16"/>
        </w:rPr>
        <w:t>第一章</w:t>
      </w:r>
      <w:r w:rsidRPr="001836BB">
        <w:rPr>
          <w:rFonts w:ascii="Roboto" w:eastAsia="宋体" w:hAnsi="Roboto" w:cs="Helvetica"/>
          <w:b/>
          <w:bCs/>
          <w:color w:val="444444"/>
          <w:kern w:val="0"/>
          <w:sz w:val="16"/>
        </w:rPr>
        <w:t xml:space="preserve"> </w:t>
      </w:r>
      <w:r w:rsidRPr="001836BB">
        <w:rPr>
          <w:rFonts w:ascii="Roboto" w:eastAsia="宋体" w:hAnsi="Roboto" w:cs="Helvetica"/>
          <w:b/>
          <w:bCs/>
          <w:color w:val="444444"/>
          <w:kern w:val="0"/>
          <w:sz w:val="16"/>
        </w:rPr>
        <w:t>总</w:t>
      </w:r>
      <w:r w:rsidRPr="001836BB">
        <w:rPr>
          <w:rFonts w:ascii="Roboto" w:eastAsia="宋体" w:hAnsi="Roboto" w:cs="Helvetica"/>
          <w:b/>
          <w:bCs/>
          <w:color w:val="444444"/>
          <w:kern w:val="0"/>
          <w:sz w:val="16"/>
        </w:rPr>
        <w:t xml:space="preserve"> </w:t>
      </w:r>
      <w:r w:rsidRPr="001836BB">
        <w:rPr>
          <w:rFonts w:ascii="Roboto" w:eastAsia="宋体" w:hAnsi="Roboto" w:cs="Helvetica"/>
          <w:b/>
          <w:bCs/>
          <w:color w:val="444444"/>
          <w:kern w:val="0"/>
          <w:sz w:val="16"/>
        </w:rPr>
        <w:t>则</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第一条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为贯彻落实《中共中央</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国务院关于深化体制机制改革加快实施创新驱动发展战略的若干意见》、《国务院关于改进加强中央财政科研项目和资金管理的若干意见》（国发〔</w:t>
      </w:r>
      <w:r w:rsidRPr="001836BB">
        <w:rPr>
          <w:rFonts w:ascii="Roboto" w:eastAsia="宋体" w:hAnsi="Roboto" w:cs="Helvetica"/>
          <w:color w:val="444444"/>
          <w:kern w:val="0"/>
          <w:sz w:val="16"/>
          <w:szCs w:val="16"/>
        </w:rPr>
        <w:t>2014</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11</w:t>
      </w:r>
      <w:r w:rsidRPr="001836BB">
        <w:rPr>
          <w:rFonts w:ascii="Roboto" w:eastAsia="宋体" w:hAnsi="Roboto" w:cs="Helvetica"/>
          <w:color w:val="444444"/>
          <w:kern w:val="0"/>
          <w:sz w:val="16"/>
          <w:szCs w:val="16"/>
        </w:rPr>
        <w:t>号）、《国务院印发关于深化中央财政科技计划（专项、基金等）管理改革方案的通知》（国发〔</w:t>
      </w:r>
      <w:r w:rsidRPr="001836BB">
        <w:rPr>
          <w:rFonts w:ascii="Roboto" w:eastAsia="宋体" w:hAnsi="Roboto" w:cs="Helvetica"/>
          <w:color w:val="444444"/>
          <w:kern w:val="0"/>
          <w:sz w:val="16"/>
          <w:szCs w:val="16"/>
        </w:rPr>
        <w:t>2014</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64</w:t>
      </w:r>
      <w:r w:rsidRPr="001836BB">
        <w:rPr>
          <w:rFonts w:ascii="Roboto" w:eastAsia="宋体" w:hAnsi="Roboto" w:cs="Helvetica"/>
          <w:color w:val="444444"/>
          <w:kern w:val="0"/>
          <w:sz w:val="16"/>
          <w:szCs w:val="16"/>
        </w:rPr>
        <w:t>号）和《财政部</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教育部关于改革完善中央高校预算拨款制度的通知》（财教〔</w:t>
      </w:r>
      <w:r w:rsidRPr="001836BB">
        <w:rPr>
          <w:rFonts w:ascii="Roboto" w:eastAsia="宋体" w:hAnsi="Roboto" w:cs="Helvetica"/>
          <w:color w:val="444444"/>
          <w:kern w:val="0"/>
          <w:sz w:val="16"/>
          <w:szCs w:val="16"/>
        </w:rPr>
        <w:t>2015</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467</w:t>
      </w:r>
      <w:r w:rsidRPr="001836BB">
        <w:rPr>
          <w:rFonts w:ascii="Roboto" w:eastAsia="宋体" w:hAnsi="Roboto" w:cs="Helvetica"/>
          <w:color w:val="444444"/>
          <w:kern w:val="0"/>
          <w:sz w:val="16"/>
          <w:szCs w:val="16"/>
        </w:rPr>
        <w:t>号）等文件精神，加强对中央高校自主开展科学研究的稳定支持，提升中央高校服务国家发展战略能力、自主创新能力和高层次人才培养能力，提高资金使用效益，根据国家有关规定以及预算管理改革的有关要求，制定本办法。</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第二条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中央高校基本科研业务费（以下简称基本科研业务费）用于支持中央高校开展自主选题研究工作，使用方向包括：重点支持</w:t>
      </w:r>
      <w:r w:rsidRPr="001836BB">
        <w:rPr>
          <w:rFonts w:ascii="Roboto" w:eastAsia="宋体" w:hAnsi="Roboto" w:cs="Helvetica"/>
          <w:color w:val="444444"/>
          <w:kern w:val="0"/>
          <w:sz w:val="16"/>
          <w:szCs w:val="16"/>
        </w:rPr>
        <w:t>40</w:t>
      </w:r>
      <w:r w:rsidRPr="001836BB">
        <w:rPr>
          <w:rFonts w:ascii="Roboto" w:eastAsia="宋体" w:hAnsi="Roboto" w:cs="Helvetica"/>
          <w:color w:val="444444"/>
          <w:kern w:val="0"/>
          <w:sz w:val="16"/>
          <w:szCs w:val="16"/>
        </w:rPr>
        <w:t>周岁以下青年教师提升基本科研能力；支持在校优秀学生提升科研创新能力；支持优秀创新团队建设；开展多学科交叉的基础性、支撑性和战略性研究；加强科技基础性工作。</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第三条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基本科研业务费的使用和管理遵循以下原则：</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（一）稳定支持。对中央高校培养优秀科研人才和团队、开展前瞻性自主科研、提升创新能力给予稳定支持，根据使用绩效和中央财力状况适时加大支持力度。</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（二）自主安排。中央高校根据自身基本科研需求统筹规划，自主选题、自主立项，按规定编制预算和使用资金。</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（三）公开公正。中央高校按照科学民主的原则，通过公开评议、公示等方式遴选项目，确保各环节公正、透明。</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（四）严格管理。基本科研业务费纳入中央高校财务统一管理，专款专用，资金的使用范围和标准要符合国家有关规定。建立全过程管理制度，注重绩效，提高资金使用效益。</w:t>
      </w:r>
    </w:p>
    <w:p w:rsidR="001836BB" w:rsidRPr="001836BB" w:rsidRDefault="001836BB" w:rsidP="001836BB">
      <w:pPr>
        <w:widowControl/>
        <w:shd w:val="clear" w:color="auto" w:fill="FFFFFF"/>
        <w:spacing w:after="115" w:line="480" w:lineRule="atLeast"/>
        <w:jc w:val="center"/>
        <w:rPr>
          <w:rFonts w:ascii="Roboto" w:eastAsia="宋体" w:hAnsi="Roboto" w:cs="Helvetica"/>
          <w:color w:val="444444"/>
          <w:kern w:val="0"/>
          <w:sz w:val="16"/>
          <w:szCs w:val="16"/>
        </w:rPr>
      </w:pPr>
      <w:r w:rsidRPr="001836BB">
        <w:rPr>
          <w:rFonts w:ascii="Roboto" w:eastAsia="宋体" w:hAnsi="Roboto" w:cs="Helvetica"/>
          <w:b/>
          <w:bCs/>
          <w:color w:val="444444"/>
          <w:kern w:val="0"/>
          <w:sz w:val="16"/>
        </w:rPr>
        <w:t>第二章</w:t>
      </w:r>
      <w:r w:rsidRPr="001836BB">
        <w:rPr>
          <w:rFonts w:ascii="Roboto" w:eastAsia="宋体" w:hAnsi="Roboto" w:cs="Helvetica"/>
          <w:b/>
          <w:bCs/>
          <w:color w:val="444444"/>
          <w:kern w:val="0"/>
          <w:sz w:val="16"/>
        </w:rPr>
        <w:t xml:space="preserve"> </w:t>
      </w:r>
      <w:r w:rsidRPr="001836BB">
        <w:rPr>
          <w:rFonts w:ascii="Roboto" w:eastAsia="宋体" w:hAnsi="Roboto" w:cs="Helvetica"/>
          <w:b/>
          <w:bCs/>
          <w:color w:val="444444"/>
          <w:kern w:val="0"/>
          <w:sz w:val="16"/>
        </w:rPr>
        <w:t>管理权限与职责</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第四条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财政部负责会同教育部核定基本科研业务费支出规划和年度预算，对资金使用和管理情况进行监督指导。</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第五条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主管部门应当按照部门预算管理的有关要求，及时将基本科研业务费预算下达到所属高校，并对资金使用情况进行监督。组织基本科研业务费中期绩效评价，一般每三年开展一次。绩效评价可根据需要委托第三方开展，并加强结果应用。</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lastRenderedPageBreak/>
        <w:t xml:space="preserve">　　第六条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中央高校是基本科研业务费使用管理的责任主体，应当切实履行法人责任，健全内部管理机制，加强项目库的建设和管理，对立项项目进行全过程预算绩效管理，具体组织预算执行。</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第七条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项目负责人是基本科研业务费使用管理的直接责任人，对资金使用和项目实施的规范性、合理性和有效性负责。</w:t>
      </w:r>
    </w:p>
    <w:p w:rsidR="001836BB" w:rsidRPr="001836BB" w:rsidRDefault="001836BB" w:rsidP="001836BB">
      <w:pPr>
        <w:widowControl/>
        <w:shd w:val="clear" w:color="auto" w:fill="FFFFFF"/>
        <w:spacing w:after="115" w:line="480" w:lineRule="atLeast"/>
        <w:jc w:val="center"/>
        <w:rPr>
          <w:rFonts w:ascii="Roboto" w:eastAsia="宋体" w:hAnsi="Roboto" w:cs="Helvetica"/>
          <w:color w:val="444444"/>
          <w:kern w:val="0"/>
          <w:sz w:val="16"/>
          <w:szCs w:val="16"/>
        </w:rPr>
      </w:pPr>
      <w:r w:rsidRPr="001836BB">
        <w:rPr>
          <w:rFonts w:ascii="Roboto" w:eastAsia="宋体" w:hAnsi="Roboto" w:cs="Helvetica"/>
          <w:b/>
          <w:bCs/>
          <w:color w:val="444444"/>
          <w:kern w:val="0"/>
          <w:sz w:val="16"/>
        </w:rPr>
        <w:t>第三章</w:t>
      </w:r>
      <w:r w:rsidRPr="001836BB">
        <w:rPr>
          <w:rFonts w:ascii="Roboto" w:eastAsia="宋体" w:hAnsi="Roboto" w:cs="Helvetica"/>
          <w:b/>
          <w:bCs/>
          <w:color w:val="444444"/>
          <w:kern w:val="0"/>
          <w:sz w:val="16"/>
        </w:rPr>
        <w:t xml:space="preserve"> </w:t>
      </w:r>
      <w:r w:rsidRPr="001836BB">
        <w:rPr>
          <w:rFonts w:ascii="Roboto" w:eastAsia="宋体" w:hAnsi="Roboto" w:cs="Helvetica"/>
          <w:b/>
          <w:bCs/>
          <w:color w:val="444444"/>
          <w:kern w:val="0"/>
          <w:sz w:val="16"/>
        </w:rPr>
        <w:t>预算管理</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第八条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基本科研业务费采用因素法分配，主要考虑中央高校青年教师和在校学生科研需求及能力、科研活动开展情况、预算执行和财务管理情况、中期绩效评价结果等因素。</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第九条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中央高校应当结合中期财政规划，自行组织项目的遴选和立项，建立校内基本科研业务费项目库，并实行动态调整。</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每年</w:t>
      </w:r>
      <w:r w:rsidRPr="001836BB">
        <w:rPr>
          <w:rFonts w:ascii="Roboto" w:eastAsia="宋体" w:hAnsi="Roboto" w:cs="Helvetica"/>
          <w:color w:val="444444"/>
          <w:kern w:val="0"/>
          <w:sz w:val="16"/>
          <w:szCs w:val="16"/>
        </w:rPr>
        <w:t>11</w:t>
      </w:r>
      <w:r w:rsidRPr="001836BB">
        <w:rPr>
          <w:rFonts w:ascii="Roboto" w:eastAsia="宋体" w:hAnsi="Roboto" w:cs="Helvetica"/>
          <w:color w:val="444444"/>
          <w:kern w:val="0"/>
          <w:sz w:val="16"/>
          <w:szCs w:val="16"/>
        </w:rPr>
        <w:t>月底前，中央高校结合下一年度</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一下</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预算控制数、当年预算执行情况等，根据基本科研业务费校内管理机制，完成下一年度的项目申报、评审、遴选排序等工作，落实年度预算安排。</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第十一条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基本科研业务费支持的项目，原则上同一负责人同一时期只能牵头负责一个项目，作为团队成员参加者合计不得超过三个项目。</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第十二条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中央高校根据项目立项情况，科学合理安排年度预算，对实施期限为一年以上的研究项目，应当根据研究进展分年度安排预算。</w:t>
      </w:r>
    </w:p>
    <w:p w:rsidR="001836BB" w:rsidRPr="001836BB" w:rsidRDefault="001836BB" w:rsidP="001836BB">
      <w:pPr>
        <w:widowControl/>
        <w:shd w:val="clear" w:color="auto" w:fill="FFFFFF"/>
        <w:spacing w:after="115" w:line="480" w:lineRule="atLeast"/>
        <w:jc w:val="center"/>
        <w:rPr>
          <w:rFonts w:ascii="Roboto" w:eastAsia="宋体" w:hAnsi="Roboto" w:cs="Helvetica"/>
          <w:color w:val="444444"/>
          <w:kern w:val="0"/>
          <w:sz w:val="16"/>
          <w:szCs w:val="16"/>
        </w:rPr>
      </w:pPr>
      <w:r w:rsidRPr="001836BB">
        <w:rPr>
          <w:rFonts w:ascii="Roboto" w:eastAsia="宋体" w:hAnsi="Roboto" w:cs="Helvetica"/>
          <w:b/>
          <w:bCs/>
          <w:color w:val="444444"/>
          <w:kern w:val="0"/>
          <w:sz w:val="16"/>
        </w:rPr>
        <w:t>第四章</w:t>
      </w:r>
      <w:r w:rsidRPr="001836BB">
        <w:rPr>
          <w:rFonts w:ascii="Roboto" w:eastAsia="宋体" w:hAnsi="Roboto" w:cs="Helvetica"/>
          <w:b/>
          <w:bCs/>
          <w:color w:val="444444"/>
          <w:kern w:val="0"/>
          <w:sz w:val="16"/>
        </w:rPr>
        <w:t xml:space="preserve"> </w:t>
      </w:r>
      <w:r w:rsidRPr="001836BB">
        <w:rPr>
          <w:rFonts w:ascii="Roboto" w:eastAsia="宋体" w:hAnsi="Roboto" w:cs="Helvetica"/>
          <w:b/>
          <w:bCs/>
          <w:color w:val="444444"/>
          <w:kern w:val="0"/>
          <w:sz w:val="16"/>
        </w:rPr>
        <w:t>支出和决算管理</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第十三条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基本科研业务费使用范围和开支标准，由中央高校按照国家有关规定，结合实际情况确定。</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第十四条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基本科研业务费不得开支有工资性收入的人员工资、奖金、津补贴和福利支出；不得购置</w:t>
      </w:r>
      <w:r w:rsidRPr="001836BB">
        <w:rPr>
          <w:rFonts w:ascii="Roboto" w:eastAsia="宋体" w:hAnsi="Roboto" w:cs="Helvetica"/>
          <w:color w:val="444444"/>
          <w:kern w:val="0"/>
          <w:sz w:val="16"/>
          <w:szCs w:val="16"/>
        </w:rPr>
        <w:t>40</w:t>
      </w:r>
      <w:r w:rsidRPr="001836BB">
        <w:rPr>
          <w:rFonts w:ascii="Roboto" w:eastAsia="宋体" w:hAnsi="Roboto" w:cs="Helvetica"/>
          <w:color w:val="444444"/>
          <w:kern w:val="0"/>
          <w:sz w:val="16"/>
          <w:szCs w:val="16"/>
        </w:rPr>
        <w:t>万元以上的大型仪器设备；不得分摊学校公共管理和运行费用；不得作为其他项目的配套资金；不得用于偿还贷款、支付罚款、捐赠、赞助、投资等支出；也不得用于按照国家规定不得列支的其他支出。</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第十五条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基本科研业务费的资金支付执行国库集中支付制度。发生的会议费、差旅费、小额材料费和测试化验加工费等，应当按照《财政部</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科技部关于中央财政科研项目使用公务卡结算有关事项的通知》（财库〔</w:t>
      </w:r>
      <w:r w:rsidRPr="001836BB">
        <w:rPr>
          <w:rFonts w:ascii="Roboto" w:eastAsia="宋体" w:hAnsi="Roboto" w:cs="Helvetica"/>
          <w:color w:val="444444"/>
          <w:kern w:val="0"/>
          <w:sz w:val="16"/>
          <w:szCs w:val="16"/>
        </w:rPr>
        <w:t>2015</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245</w:t>
      </w:r>
      <w:r w:rsidRPr="001836BB">
        <w:rPr>
          <w:rFonts w:ascii="Roboto" w:eastAsia="宋体" w:hAnsi="Roboto" w:cs="Helvetica"/>
          <w:color w:val="444444"/>
          <w:kern w:val="0"/>
          <w:sz w:val="16"/>
          <w:szCs w:val="16"/>
        </w:rPr>
        <w:t>号）规定，实行</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公务卡</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结算。劳务费、专家咨询费等支出，原则上应当通过银行转账方式结算，从严控制现金支付。</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第十六条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基本科研业务费的支出中属于政府采购范围的，应当按照《中华人民共和国政府采购法》及政府采购的有关规定执行。</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lastRenderedPageBreak/>
        <w:t xml:space="preserve">　　第十七条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中央高校应当按照国家科研信用制度的有关要求，建立基本科研业务费的科研信用制度，并按照国家统一要求纳入国家科研信用体系。</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第十八条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中央高校应将基本科研业务费的收支情况纳入单位年度决算，统一编报。年度结转结余资金按照国家有关规定管理。</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第十九条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使用基本科研业务费形成的资产属于国有资产，应当按照国家国有资产管理的有关规定加强管理；形成的科技成果和科学数据等由学校按规定统筹管理。</w:t>
      </w:r>
    </w:p>
    <w:p w:rsidR="001836BB" w:rsidRPr="001836BB" w:rsidRDefault="001836BB" w:rsidP="001836BB">
      <w:pPr>
        <w:widowControl/>
        <w:shd w:val="clear" w:color="auto" w:fill="FFFFFF"/>
        <w:spacing w:after="115" w:line="480" w:lineRule="atLeast"/>
        <w:jc w:val="center"/>
        <w:rPr>
          <w:rFonts w:ascii="Roboto" w:eastAsia="宋体" w:hAnsi="Roboto" w:cs="Helvetica"/>
          <w:color w:val="444444"/>
          <w:kern w:val="0"/>
          <w:sz w:val="16"/>
          <w:szCs w:val="16"/>
        </w:rPr>
      </w:pPr>
      <w:r w:rsidRPr="001836BB">
        <w:rPr>
          <w:rFonts w:ascii="Roboto" w:eastAsia="宋体" w:hAnsi="Roboto" w:cs="Helvetica"/>
          <w:b/>
          <w:bCs/>
          <w:color w:val="444444"/>
          <w:kern w:val="0"/>
          <w:sz w:val="16"/>
        </w:rPr>
        <w:t>第五章　绩效评价与监督检查</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第二十条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中央高校应当对科研进展、科研产出、人才团队建设、资金使用等情况进行监测，实施绩效监控，开展绩效自评，及时报送科研业务费使用及绩效管理年度报告。每年</w:t>
      </w:r>
      <w:r w:rsidRPr="001836BB">
        <w:rPr>
          <w:rFonts w:ascii="Roboto" w:eastAsia="宋体" w:hAnsi="Roboto" w:cs="Helvetica"/>
          <w:color w:val="444444"/>
          <w:kern w:val="0"/>
          <w:sz w:val="16"/>
          <w:szCs w:val="16"/>
        </w:rPr>
        <w:t>4</w:t>
      </w:r>
      <w:r w:rsidRPr="001836BB">
        <w:rPr>
          <w:rFonts w:ascii="Roboto" w:eastAsia="宋体" w:hAnsi="Roboto" w:cs="Helvetica"/>
          <w:color w:val="444444"/>
          <w:kern w:val="0"/>
          <w:sz w:val="16"/>
          <w:szCs w:val="16"/>
        </w:rPr>
        <w:t>月</w:t>
      </w:r>
      <w:r w:rsidRPr="001836BB">
        <w:rPr>
          <w:rFonts w:ascii="Roboto" w:eastAsia="宋体" w:hAnsi="Roboto" w:cs="Helvetica"/>
          <w:color w:val="444444"/>
          <w:kern w:val="0"/>
          <w:sz w:val="16"/>
          <w:szCs w:val="16"/>
        </w:rPr>
        <w:t>1</w:t>
      </w:r>
      <w:r w:rsidRPr="001836BB">
        <w:rPr>
          <w:rFonts w:ascii="Roboto" w:eastAsia="宋体" w:hAnsi="Roboto" w:cs="Helvetica"/>
          <w:color w:val="444444"/>
          <w:kern w:val="0"/>
          <w:sz w:val="16"/>
          <w:szCs w:val="16"/>
        </w:rPr>
        <w:t>日前，中央高校登陆</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基本科研业务费管理平台</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，填报本校项目数据并上传上一年度实施情况总结和绩效自评报告，并及时报送主管部门。</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第二十一条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主管部门、财政部对基本科研业务费的预算执行、资金使用效益和财务管理等情况进行监督检查，如发现有截留、挤占、挪用资金的行为，以及因管理不善导致资金浪费、资产毁损、效益低下的，将暂停或核减其以后年度预算。</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第二十二条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中央高校要切实加强基本科研业务费的预算执行管理，建立预算安排与预算执行、实施绩效挂钩的奖惩机制。对未按照校内管理要求自行调整经费用途、预算执行进度缓慢或实施效果差的项目，应当采取调整和扣减当年预算、暂停安排以后年度预算等措施，强化激励约束。</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第二十三条　中央高校应当严格遵守国家财政财务制度和财经纪律，规范和加强内部管理，自觉接受审计、监察、财政及主管部门的监督检查。</w:t>
      </w:r>
    </w:p>
    <w:p w:rsidR="001836BB" w:rsidRPr="001836BB" w:rsidRDefault="001836BB" w:rsidP="001836BB">
      <w:pPr>
        <w:widowControl/>
        <w:shd w:val="clear" w:color="auto" w:fill="FFFFFF"/>
        <w:spacing w:after="115" w:line="480" w:lineRule="atLeast"/>
        <w:jc w:val="center"/>
        <w:rPr>
          <w:rFonts w:ascii="Roboto" w:eastAsia="宋体" w:hAnsi="Roboto" w:cs="Helvetica"/>
          <w:color w:val="444444"/>
          <w:kern w:val="0"/>
          <w:sz w:val="16"/>
          <w:szCs w:val="16"/>
        </w:rPr>
      </w:pPr>
      <w:r w:rsidRPr="001836BB">
        <w:rPr>
          <w:rFonts w:ascii="Roboto" w:eastAsia="宋体" w:hAnsi="Roboto" w:cs="Helvetica"/>
          <w:b/>
          <w:bCs/>
          <w:color w:val="444444"/>
          <w:kern w:val="0"/>
          <w:sz w:val="16"/>
        </w:rPr>
        <w:t>第六章</w:t>
      </w:r>
      <w:r w:rsidRPr="001836BB">
        <w:rPr>
          <w:rFonts w:ascii="Roboto" w:eastAsia="宋体" w:hAnsi="Roboto" w:cs="Helvetica"/>
          <w:b/>
          <w:bCs/>
          <w:color w:val="444444"/>
          <w:kern w:val="0"/>
          <w:sz w:val="16"/>
        </w:rPr>
        <w:t xml:space="preserve"> </w:t>
      </w:r>
      <w:r w:rsidRPr="001836BB">
        <w:rPr>
          <w:rFonts w:ascii="Roboto" w:eastAsia="宋体" w:hAnsi="Roboto" w:cs="Helvetica"/>
          <w:b/>
          <w:bCs/>
          <w:color w:val="444444"/>
          <w:kern w:val="0"/>
          <w:sz w:val="16"/>
        </w:rPr>
        <w:t>附</w:t>
      </w:r>
      <w:r w:rsidRPr="001836BB">
        <w:rPr>
          <w:rFonts w:ascii="Roboto" w:eastAsia="宋体" w:hAnsi="Roboto" w:cs="Helvetica"/>
          <w:b/>
          <w:bCs/>
          <w:color w:val="444444"/>
          <w:kern w:val="0"/>
          <w:sz w:val="16"/>
        </w:rPr>
        <w:t xml:space="preserve"> </w:t>
      </w:r>
      <w:r w:rsidRPr="001836BB">
        <w:rPr>
          <w:rFonts w:ascii="Roboto" w:eastAsia="宋体" w:hAnsi="Roboto" w:cs="Helvetica"/>
          <w:b/>
          <w:bCs/>
          <w:color w:val="444444"/>
          <w:kern w:val="0"/>
          <w:sz w:val="16"/>
        </w:rPr>
        <w:t>则</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第二十四条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本办法由财政部、教育部负责解释。各中央高校应当根据本办法，制定适合本校特点的实施细则，报主管部门备案，同时抄送财政部、教育部。</w:t>
      </w:r>
    </w:p>
    <w:p w:rsidR="001836BB" w:rsidRPr="001836BB" w:rsidRDefault="001836BB" w:rsidP="001836BB">
      <w:pPr>
        <w:widowControl/>
        <w:shd w:val="clear" w:color="auto" w:fill="FFFFFF"/>
        <w:spacing w:after="115" w:line="480" w:lineRule="atLeast"/>
        <w:jc w:val="left"/>
        <w:rPr>
          <w:rFonts w:ascii="Roboto" w:eastAsia="宋体" w:hAnsi="Roboto" w:cs="Helvetica"/>
          <w:color w:val="444444"/>
          <w:kern w:val="0"/>
          <w:sz w:val="16"/>
          <w:szCs w:val="16"/>
        </w:rPr>
      </w:pPr>
      <w:r w:rsidRPr="001836BB">
        <w:rPr>
          <w:rFonts w:ascii="Roboto" w:eastAsia="宋体" w:hAnsi="Roboto" w:cs="Helvetica"/>
          <w:color w:val="444444"/>
          <w:kern w:val="0"/>
          <w:sz w:val="16"/>
          <w:szCs w:val="16"/>
        </w:rPr>
        <w:t xml:space="preserve">　　第二十五条</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本办法自</w:t>
      </w:r>
      <w:r w:rsidRPr="001836BB">
        <w:rPr>
          <w:rFonts w:ascii="Roboto" w:eastAsia="宋体" w:hAnsi="Roboto" w:cs="Helvetica"/>
          <w:color w:val="444444"/>
          <w:kern w:val="0"/>
          <w:sz w:val="16"/>
          <w:szCs w:val="16"/>
        </w:rPr>
        <w:t>2016</w:t>
      </w:r>
      <w:r w:rsidRPr="001836BB">
        <w:rPr>
          <w:rFonts w:ascii="Roboto" w:eastAsia="宋体" w:hAnsi="Roboto" w:cs="Helvetica"/>
          <w:color w:val="444444"/>
          <w:kern w:val="0"/>
          <w:sz w:val="16"/>
          <w:szCs w:val="16"/>
        </w:rPr>
        <w:t>年</w:t>
      </w:r>
      <w:r w:rsidRPr="001836BB">
        <w:rPr>
          <w:rFonts w:ascii="Roboto" w:eastAsia="宋体" w:hAnsi="Roboto" w:cs="Helvetica"/>
          <w:color w:val="444444"/>
          <w:kern w:val="0"/>
          <w:sz w:val="16"/>
          <w:szCs w:val="16"/>
        </w:rPr>
        <w:t>11</w:t>
      </w:r>
      <w:r w:rsidRPr="001836BB">
        <w:rPr>
          <w:rFonts w:ascii="Roboto" w:eastAsia="宋体" w:hAnsi="Roboto" w:cs="Helvetica"/>
          <w:color w:val="444444"/>
          <w:kern w:val="0"/>
          <w:sz w:val="16"/>
          <w:szCs w:val="16"/>
        </w:rPr>
        <w:t>月</w:t>
      </w:r>
      <w:r w:rsidRPr="001836BB">
        <w:rPr>
          <w:rFonts w:ascii="Roboto" w:eastAsia="宋体" w:hAnsi="Roboto" w:cs="Helvetica"/>
          <w:color w:val="444444"/>
          <w:kern w:val="0"/>
          <w:sz w:val="16"/>
          <w:szCs w:val="16"/>
        </w:rPr>
        <w:t>1</w:t>
      </w:r>
      <w:r w:rsidRPr="001836BB">
        <w:rPr>
          <w:rFonts w:ascii="Roboto" w:eastAsia="宋体" w:hAnsi="Roboto" w:cs="Helvetica"/>
          <w:color w:val="444444"/>
          <w:kern w:val="0"/>
          <w:sz w:val="16"/>
          <w:szCs w:val="16"/>
        </w:rPr>
        <w:t>日起施行。《财政部</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教育部关于中央高校基本科研业务费管理的意见》（财教〔</w:t>
      </w:r>
      <w:r w:rsidRPr="001836BB">
        <w:rPr>
          <w:rFonts w:ascii="Roboto" w:eastAsia="宋体" w:hAnsi="Roboto" w:cs="Helvetica"/>
          <w:color w:val="444444"/>
          <w:kern w:val="0"/>
          <w:sz w:val="16"/>
          <w:szCs w:val="16"/>
        </w:rPr>
        <w:t>2008</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233</w:t>
      </w:r>
      <w:r w:rsidRPr="001836BB">
        <w:rPr>
          <w:rFonts w:ascii="Roboto" w:eastAsia="宋体" w:hAnsi="Roboto" w:cs="Helvetica"/>
          <w:color w:val="444444"/>
          <w:kern w:val="0"/>
          <w:sz w:val="16"/>
          <w:szCs w:val="16"/>
        </w:rPr>
        <w:t>号）、《财政部</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教育部关于印发〈中央高校基本科研业务费专项资金管理暂行办法〉的通知》（财教〔</w:t>
      </w:r>
      <w:r w:rsidRPr="001836BB">
        <w:rPr>
          <w:rFonts w:ascii="Roboto" w:eastAsia="宋体" w:hAnsi="Roboto" w:cs="Helvetica"/>
          <w:color w:val="444444"/>
          <w:kern w:val="0"/>
          <w:sz w:val="16"/>
          <w:szCs w:val="16"/>
        </w:rPr>
        <w:t>2009</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173</w:t>
      </w:r>
      <w:r w:rsidRPr="001836BB">
        <w:rPr>
          <w:rFonts w:ascii="Roboto" w:eastAsia="宋体" w:hAnsi="Roboto" w:cs="Helvetica"/>
          <w:color w:val="444444"/>
          <w:kern w:val="0"/>
          <w:sz w:val="16"/>
          <w:szCs w:val="16"/>
        </w:rPr>
        <w:t>号）以及《财政部</w:t>
      </w:r>
      <w:r w:rsidRPr="001836BB">
        <w:rPr>
          <w:rFonts w:ascii="Roboto" w:eastAsia="宋体" w:hAnsi="Roboto" w:cs="Helvetica"/>
          <w:color w:val="444444"/>
          <w:kern w:val="0"/>
          <w:sz w:val="16"/>
          <w:szCs w:val="16"/>
        </w:rPr>
        <w:t xml:space="preserve"> </w:t>
      </w:r>
      <w:r w:rsidRPr="001836BB">
        <w:rPr>
          <w:rFonts w:ascii="Roboto" w:eastAsia="宋体" w:hAnsi="Roboto" w:cs="Helvetica"/>
          <w:color w:val="444444"/>
          <w:kern w:val="0"/>
          <w:sz w:val="16"/>
          <w:szCs w:val="16"/>
        </w:rPr>
        <w:t>教育部关于加强中央高校基本科研业务费管理工作的通知》（财教〔</w:t>
      </w:r>
      <w:r w:rsidRPr="001836BB">
        <w:rPr>
          <w:rFonts w:ascii="Roboto" w:eastAsia="宋体" w:hAnsi="Roboto" w:cs="Helvetica"/>
          <w:color w:val="444444"/>
          <w:kern w:val="0"/>
          <w:sz w:val="16"/>
          <w:szCs w:val="16"/>
        </w:rPr>
        <w:t>2011</w:t>
      </w:r>
      <w:r w:rsidRPr="001836BB">
        <w:rPr>
          <w:rFonts w:ascii="Roboto" w:eastAsia="宋体" w:hAnsi="Roboto" w:cs="Helvetica"/>
          <w:color w:val="444444"/>
          <w:kern w:val="0"/>
          <w:sz w:val="16"/>
          <w:szCs w:val="16"/>
        </w:rPr>
        <w:t>〕</w:t>
      </w:r>
      <w:r w:rsidRPr="001836BB">
        <w:rPr>
          <w:rFonts w:ascii="Roboto" w:eastAsia="宋体" w:hAnsi="Roboto" w:cs="Helvetica"/>
          <w:color w:val="444444"/>
          <w:kern w:val="0"/>
          <w:sz w:val="16"/>
          <w:szCs w:val="16"/>
        </w:rPr>
        <w:t>171</w:t>
      </w:r>
      <w:r w:rsidRPr="001836BB">
        <w:rPr>
          <w:rFonts w:ascii="Roboto" w:eastAsia="宋体" w:hAnsi="Roboto" w:cs="Helvetica"/>
          <w:color w:val="444444"/>
          <w:kern w:val="0"/>
          <w:sz w:val="16"/>
          <w:szCs w:val="16"/>
        </w:rPr>
        <w:t>号）同时废止。</w:t>
      </w:r>
    </w:p>
    <w:p w:rsidR="004409B9" w:rsidRPr="001836BB" w:rsidRDefault="004409B9"/>
    <w:sectPr w:rsidR="004409B9" w:rsidRPr="001836BB" w:rsidSect="004409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6BB"/>
    <w:rsid w:val="00056814"/>
    <w:rsid w:val="001836BB"/>
    <w:rsid w:val="00196612"/>
    <w:rsid w:val="001D1FD3"/>
    <w:rsid w:val="002C308E"/>
    <w:rsid w:val="002C4A87"/>
    <w:rsid w:val="003022FC"/>
    <w:rsid w:val="003113FE"/>
    <w:rsid w:val="004409B9"/>
    <w:rsid w:val="00587CE9"/>
    <w:rsid w:val="005D4BE6"/>
    <w:rsid w:val="006230D4"/>
    <w:rsid w:val="00684BAD"/>
    <w:rsid w:val="006E2EC7"/>
    <w:rsid w:val="00725A50"/>
    <w:rsid w:val="007A04E7"/>
    <w:rsid w:val="00814DC6"/>
    <w:rsid w:val="00911F05"/>
    <w:rsid w:val="00C54B3A"/>
    <w:rsid w:val="00C76D05"/>
    <w:rsid w:val="00CD5787"/>
    <w:rsid w:val="00EB4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华文细黑" w:eastAsia="华文细黑" w:hAnsi="华文细黑"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B9"/>
    <w:pPr>
      <w:widowControl w:val="0"/>
      <w:jc w:val="both"/>
    </w:pPr>
  </w:style>
  <w:style w:type="paragraph" w:styleId="2">
    <w:name w:val="heading 2"/>
    <w:basedOn w:val="a"/>
    <w:link w:val="2Char"/>
    <w:uiPriority w:val="9"/>
    <w:qFormat/>
    <w:rsid w:val="001836BB"/>
    <w:pPr>
      <w:widowControl/>
      <w:spacing w:before="230" w:after="115"/>
      <w:jc w:val="left"/>
      <w:outlineLvl w:val="1"/>
    </w:pPr>
    <w:rPr>
      <w:rFonts w:ascii="Roboto" w:eastAsia="宋体" w:hAnsi="Roboto" w:cs="Helvetica"/>
      <w:color w:val="DE9C16"/>
      <w:kern w:val="0"/>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836BB"/>
    <w:rPr>
      <w:rFonts w:ascii="Roboto" w:eastAsia="宋体" w:hAnsi="Roboto" w:cs="Helvetica"/>
      <w:color w:val="DE9C16"/>
      <w:kern w:val="0"/>
      <w:sz w:val="38"/>
      <w:szCs w:val="38"/>
    </w:rPr>
  </w:style>
  <w:style w:type="character" w:styleId="a3">
    <w:name w:val="Strong"/>
    <w:basedOn w:val="a0"/>
    <w:uiPriority w:val="22"/>
    <w:qFormat/>
    <w:rsid w:val="001836BB"/>
    <w:rPr>
      <w:b/>
      <w:bCs/>
    </w:rPr>
  </w:style>
  <w:style w:type="paragraph" w:styleId="a4">
    <w:name w:val="Normal (Web)"/>
    <w:basedOn w:val="a"/>
    <w:uiPriority w:val="99"/>
    <w:semiHidden/>
    <w:unhideWhenUsed/>
    <w:rsid w:val="001836BB"/>
    <w:pPr>
      <w:widowControl/>
      <w:spacing w:after="115"/>
      <w:jc w:val="left"/>
    </w:pPr>
    <w:rPr>
      <w:rFonts w:ascii="宋体" w:eastAsia="宋体" w:hAnsi="宋体" w:cs="宋体"/>
      <w:kern w:val="0"/>
    </w:rPr>
  </w:style>
  <w:style w:type="paragraph" w:customStyle="1" w:styleId="text-align-center">
    <w:name w:val="text-align-center"/>
    <w:basedOn w:val="a"/>
    <w:rsid w:val="001836BB"/>
    <w:pPr>
      <w:widowControl/>
      <w:spacing w:after="115"/>
      <w:jc w:val="center"/>
    </w:pPr>
    <w:rPr>
      <w:rFonts w:ascii="宋体" w:eastAsia="宋体" w:hAnsi="宋体" w:cs="宋体"/>
      <w:kern w:val="0"/>
    </w:rPr>
  </w:style>
  <w:style w:type="character" w:customStyle="1" w:styleId="field">
    <w:name w:val="field"/>
    <w:basedOn w:val="a0"/>
    <w:rsid w:val="001836BB"/>
  </w:style>
</w:styles>
</file>

<file path=word/webSettings.xml><?xml version="1.0" encoding="utf-8"?>
<w:webSettings xmlns:r="http://schemas.openxmlformats.org/officeDocument/2006/relationships" xmlns:w="http://schemas.openxmlformats.org/wordprocessingml/2006/main">
  <w:divs>
    <w:div w:id="292291795">
      <w:bodyDiv w:val="1"/>
      <w:marLeft w:val="0"/>
      <w:marRight w:val="0"/>
      <w:marTop w:val="0"/>
      <w:marBottom w:val="0"/>
      <w:divBdr>
        <w:top w:val="none" w:sz="0" w:space="0" w:color="auto"/>
        <w:left w:val="none" w:sz="0" w:space="0" w:color="auto"/>
        <w:bottom w:val="none" w:sz="0" w:space="0" w:color="auto"/>
        <w:right w:val="none" w:sz="0" w:space="0" w:color="auto"/>
      </w:divBdr>
      <w:divsChild>
        <w:div w:id="844709212">
          <w:marLeft w:val="0"/>
          <w:marRight w:val="0"/>
          <w:marTop w:val="0"/>
          <w:marBottom w:val="0"/>
          <w:divBdr>
            <w:top w:val="none" w:sz="0" w:space="0" w:color="auto"/>
            <w:left w:val="none" w:sz="0" w:space="0" w:color="auto"/>
            <w:bottom w:val="none" w:sz="0" w:space="0" w:color="auto"/>
            <w:right w:val="none" w:sz="0" w:space="0" w:color="auto"/>
          </w:divBdr>
          <w:divsChild>
            <w:div w:id="630014698">
              <w:marLeft w:val="0"/>
              <w:marRight w:val="0"/>
              <w:marTop w:val="0"/>
              <w:marBottom w:val="0"/>
              <w:divBdr>
                <w:top w:val="none" w:sz="0" w:space="0" w:color="auto"/>
                <w:left w:val="none" w:sz="0" w:space="0" w:color="auto"/>
                <w:bottom w:val="none" w:sz="0" w:space="0" w:color="auto"/>
                <w:right w:val="none" w:sz="0" w:space="0" w:color="auto"/>
              </w:divBdr>
              <w:divsChild>
                <w:div w:id="1034355256">
                  <w:marLeft w:val="0"/>
                  <w:marRight w:val="0"/>
                  <w:marTop w:val="0"/>
                  <w:marBottom w:val="0"/>
                  <w:divBdr>
                    <w:top w:val="none" w:sz="0" w:space="0" w:color="auto"/>
                    <w:left w:val="none" w:sz="0" w:space="0" w:color="auto"/>
                    <w:bottom w:val="none" w:sz="0" w:space="0" w:color="auto"/>
                    <w:right w:val="none" w:sz="0" w:space="0" w:color="auto"/>
                  </w:divBdr>
                  <w:divsChild>
                    <w:div w:id="765005783">
                      <w:marLeft w:val="0"/>
                      <w:marRight w:val="0"/>
                      <w:marTop w:val="0"/>
                      <w:marBottom w:val="0"/>
                      <w:divBdr>
                        <w:top w:val="none" w:sz="0" w:space="0" w:color="auto"/>
                        <w:left w:val="none" w:sz="0" w:space="0" w:color="auto"/>
                        <w:bottom w:val="none" w:sz="0" w:space="0" w:color="auto"/>
                        <w:right w:val="none" w:sz="0" w:space="0" w:color="auto"/>
                      </w:divBdr>
                      <w:divsChild>
                        <w:div w:id="1408501252">
                          <w:marLeft w:val="0"/>
                          <w:marRight w:val="0"/>
                          <w:marTop w:val="115"/>
                          <w:marBottom w:val="288"/>
                          <w:divBdr>
                            <w:top w:val="none" w:sz="0" w:space="0" w:color="DE9C16"/>
                            <w:left w:val="none" w:sz="0" w:space="0" w:color="DE9C16"/>
                            <w:bottom w:val="dotted" w:sz="4" w:space="0" w:color="DE9C16"/>
                            <w:right w:val="none" w:sz="0" w:space="0" w:color="DE9C16"/>
                          </w:divBdr>
                        </w:div>
                        <w:div w:id="1231160688">
                          <w:marLeft w:val="0"/>
                          <w:marRight w:val="0"/>
                          <w:marTop w:val="0"/>
                          <w:marBottom w:val="0"/>
                          <w:divBdr>
                            <w:top w:val="none" w:sz="0" w:space="0" w:color="auto"/>
                            <w:left w:val="none" w:sz="0" w:space="0" w:color="auto"/>
                            <w:bottom w:val="none" w:sz="0" w:space="0" w:color="auto"/>
                            <w:right w:val="none" w:sz="0" w:space="0" w:color="auto"/>
                          </w:divBdr>
                          <w:divsChild>
                            <w:div w:id="215090101">
                              <w:marLeft w:val="0"/>
                              <w:marRight w:val="0"/>
                              <w:marTop w:val="0"/>
                              <w:marBottom w:val="0"/>
                              <w:divBdr>
                                <w:top w:val="none" w:sz="0" w:space="0" w:color="auto"/>
                                <w:left w:val="none" w:sz="0" w:space="0" w:color="auto"/>
                                <w:bottom w:val="none" w:sz="0" w:space="0" w:color="auto"/>
                                <w:right w:val="none" w:sz="0" w:space="0" w:color="auto"/>
                              </w:divBdr>
                              <w:divsChild>
                                <w:div w:id="1133404888">
                                  <w:marLeft w:val="0"/>
                                  <w:marRight w:val="0"/>
                                  <w:marTop w:val="0"/>
                                  <w:marBottom w:val="0"/>
                                  <w:divBdr>
                                    <w:top w:val="none" w:sz="0" w:space="0" w:color="auto"/>
                                    <w:left w:val="none" w:sz="0" w:space="0" w:color="auto"/>
                                    <w:bottom w:val="none" w:sz="0" w:space="0" w:color="auto"/>
                                    <w:right w:val="none" w:sz="0" w:space="0" w:color="auto"/>
                                  </w:divBdr>
                                  <w:divsChild>
                                    <w:div w:id="1532494732">
                                      <w:marLeft w:val="0"/>
                                      <w:marRight w:val="0"/>
                                      <w:marTop w:val="0"/>
                                      <w:marBottom w:val="0"/>
                                      <w:divBdr>
                                        <w:top w:val="none" w:sz="0" w:space="0" w:color="auto"/>
                                        <w:left w:val="none" w:sz="0" w:space="0" w:color="auto"/>
                                        <w:bottom w:val="none" w:sz="0" w:space="0" w:color="auto"/>
                                        <w:right w:val="none" w:sz="0" w:space="0" w:color="auto"/>
                                      </w:divBdr>
                                    </w:div>
                                    <w:div w:id="186454609">
                                      <w:marLeft w:val="0"/>
                                      <w:marRight w:val="0"/>
                                      <w:marTop w:val="0"/>
                                      <w:marBottom w:val="0"/>
                                      <w:divBdr>
                                        <w:top w:val="none" w:sz="0" w:space="0" w:color="auto"/>
                                        <w:left w:val="none" w:sz="0" w:space="0" w:color="auto"/>
                                        <w:bottom w:val="none" w:sz="0" w:space="0" w:color="auto"/>
                                        <w:right w:val="none" w:sz="0" w:space="0" w:color="auto"/>
                                      </w:divBdr>
                                    </w:div>
                                  </w:divsChild>
                                </w:div>
                                <w:div w:id="7380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张天保(2008025)</dc:creator>
  <cp:lastModifiedBy>张天保(2008025)</cp:lastModifiedBy>
  <cp:revision>1</cp:revision>
  <dcterms:created xsi:type="dcterms:W3CDTF">2016-11-18T08:24:00Z</dcterms:created>
  <dcterms:modified xsi:type="dcterms:W3CDTF">2016-11-18T08:26:00Z</dcterms:modified>
</cp:coreProperties>
</file>